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jc w:val="center"/>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44"/>
          <w:szCs w:val="44"/>
          <w:lang w:val="en-US" w:eastAsia="zh-CN"/>
        </w:rPr>
        <w:t>安徽省“安康杯”竞赛先进集体考核表</w:t>
      </w:r>
    </w:p>
    <w:p>
      <w:pPr>
        <w:ind w:firstLine="320" w:firstLineChars="1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考核单位：                                           考核时间：     年   月  日</w:t>
      </w:r>
    </w:p>
    <w:tbl>
      <w:tblPr>
        <w:tblStyle w:val="3"/>
        <w:tblW w:w="13977"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5"/>
        <w:gridCol w:w="9927"/>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8"/>
                <w:szCs w:val="28"/>
                <w:u w:val="none"/>
              </w:rPr>
            </w:pPr>
            <w:r>
              <w:rPr>
                <w:rFonts w:hint="eastAsia" w:ascii="方正书宋_GBK" w:hAnsi="方正书宋_GBK" w:eastAsia="方正书宋_GBK" w:cs="方正书宋_GBK"/>
                <w:i w:val="0"/>
                <w:color w:val="000000"/>
                <w:kern w:val="0"/>
                <w:sz w:val="28"/>
                <w:szCs w:val="28"/>
                <w:u w:val="none"/>
                <w:lang w:val="en-US" w:eastAsia="zh-CN" w:bidi="ar"/>
              </w:rPr>
              <w:t>考核项目</w:t>
            </w:r>
          </w:p>
        </w:tc>
        <w:tc>
          <w:tcPr>
            <w:tcW w:w="9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8"/>
                <w:szCs w:val="28"/>
                <w:u w:val="none"/>
              </w:rPr>
            </w:pPr>
            <w:r>
              <w:rPr>
                <w:rFonts w:hint="eastAsia" w:ascii="方正书宋_GBK" w:hAnsi="方正书宋_GBK" w:eastAsia="方正书宋_GBK" w:cs="方正书宋_GBK"/>
                <w:i w:val="0"/>
                <w:color w:val="000000"/>
                <w:kern w:val="0"/>
                <w:sz w:val="28"/>
                <w:szCs w:val="28"/>
                <w:u w:val="none"/>
                <w:lang w:val="en-US" w:eastAsia="zh-CN" w:bidi="ar"/>
              </w:rPr>
              <w:t xml:space="preserve">考核内容 </w:t>
            </w:r>
          </w:p>
        </w:tc>
        <w:tc>
          <w:tcPr>
            <w:tcW w:w="1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kern w:val="0"/>
                <w:sz w:val="28"/>
                <w:szCs w:val="28"/>
                <w:u w:val="none"/>
                <w:lang w:val="en-US" w:eastAsia="zh-CN" w:bidi="ar"/>
              </w:rPr>
            </w:pPr>
            <w:r>
              <w:rPr>
                <w:rFonts w:hint="eastAsia" w:ascii="方正书宋_GBK" w:hAnsi="方正书宋_GBK" w:eastAsia="方正书宋_GBK" w:cs="方正书宋_GBK"/>
                <w:i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29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组织领导</w:t>
            </w:r>
          </w:p>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（6分）</w:t>
            </w: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竞赛组织机构健全（2分），单位主要领导任“安康杯”竞赛组委会主任（2分）。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竞赛活动有计划、部署、方案、组织、检查、评比、表彰、奖励（2分）。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29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 xml:space="preserve">组织开展安全文化建设、安全生产法律法规学习、培训、教育（22分） </w:t>
            </w: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深入学习宣传习近平总书记关于安全生产重要论述，党中央、国务院和省委、省政府关于安全生产重大决策部署。学习《工会法》、《安全生产法》、《职业病防治法》等相关法律法规和政策（3分）。 </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积极参加“安全生产月”和《职业病防治法》宣传周等活动（2分），积极参加安全生产专项整治三年行动（2分）、创建健康企业（2分）、争做“职业健康达人”（2分）。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积极开展安全文化建设，有针对性制作企业安全挂图、宣传标语、安全培训资料，开展安全知识竞赛等安全文化活动（4分）。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建立安全卫生宣传教室或安全文化长廊，悬挂安全卫生警示牌、提示卡，张贴安全卫生宣传画、横幅、警示语等（4分）。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针对企业职工开展安全生产教育培训活动（3分）。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班组安全建设（10分）</w:t>
            </w: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视企业班组安全建设，通过班组日常教育、温情教育和警示教育等，广泛开展班组安全宣传教育活动（6分），组织开展班组安全技能培训、安全生产合理化建议、安全管理优秀成果展示等班组安全文化活动（4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9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 xml:space="preserve">安全管理（20分） </w:t>
            </w: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安全生产管理机构健全，有专、兼职安全人员并形成网络（3分），安全生产管理有计划，有具体实施方案（2分）。 </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建立全员安全生产责任制度（3分），明确各岗位安全生产职责（2分），建立教育培训档案和安全生产责任制管理考核制度（2分)，健全激励约束机制，激发全员参与安全生产工作的积极性和主动性(2分）。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把劳动安全卫生条款列入平等协商、签订集体合同内容并严格执行（属高危行业必须签订劳动安全卫生专项集体合同）（2分）。 认真做好夏季防暑降温工作（1分）。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个人劳动防护用品符合标准，配备齐全，并按规定严格检查（1分）。 </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安全装置齐全有效，设备完好率100％（1分）， 安全出口和疏散通道畅通，消防设施完好有效，消防器材配备到位，有专人负责，并定期检查维护（1分）。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9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群众监督（20分）</w:t>
            </w: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认真贯彻工会劳动保护监督检查“三个条例”，健全三级工会劳动保护监督检查网络，加强工会劳动保护监督检查员考核及管理。（7分） </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开展经常性的事故隐患和职业病危害源点排查，并进行分级管理，及时整改（3分），建立企业重大隐患治理情况向负有安全生产监督管理职责的部门和企业职代会“双报告”制度（2分）。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按要求制定灭火和应急疏散预案，组织进行有针对性的消防演练（2分），做好职工的消防及交通安全教育和管理。企业职工没有发生过严重违章事故（2分）。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9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重视职业病防治工作，开展群众性职业卫生监督检查活动（2分）。重视女工劳动保护，认真做好女职工“四期”保护（2分）。</w:t>
            </w:r>
          </w:p>
        </w:tc>
        <w:tc>
          <w:tcPr>
            <w:tcW w:w="114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90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互助保障（4分）</w:t>
            </w: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为职工购买工伤保险，组织职工参加安徽省职工互助保障计划.（4分）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事故控制（18分）</w:t>
            </w: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未发生一般及以上生产安全事故（18分）。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*组织宣传（10分）</w:t>
            </w:r>
          </w:p>
        </w:tc>
        <w:tc>
          <w:tcPr>
            <w:tcW w:w="9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活动受到地方媒体宣传报道（4分），活动受到中央媒体宣传报道（6分）。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28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 得 分</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p>
        </w:tc>
      </w:tr>
    </w:tbl>
    <w:p>
      <w:pPr>
        <w:jc w:val="left"/>
        <w:rPr>
          <w:rFonts w:hint="eastAsia" w:ascii="仿宋_GB2312" w:hAnsi="宋体" w:eastAsia="仿宋_GB2312" w:cs="仿宋_GB2312"/>
          <w:b/>
          <w:bCs/>
          <w:i w:val="0"/>
          <w:color w:val="000000"/>
          <w:kern w:val="0"/>
          <w:sz w:val="24"/>
          <w:szCs w:val="24"/>
          <w:u w:val="none"/>
          <w:lang w:val="en-US" w:eastAsia="zh-CN" w:bidi="ar"/>
        </w:rPr>
      </w:pPr>
      <w:r>
        <w:rPr>
          <w:rFonts w:hint="eastAsia" w:ascii="仿宋_GB2312" w:hAnsi="宋体" w:eastAsia="仿宋_GB2312" w:cs="仿宋_GB2312"/>
          <w:b/>
          <w:bCs/>
          <w:i w:val="0"/>
          <w:color w:val="000000"/>
          <w:kern w:val="0"/>
          <w:sz w:val="24"/>
          <w:szCs w:val="24"/>
          <w:u w:val="none"/>
          <w:lang w:val="en-US" w:eastAsia="zh-CN" w:bidi="ar"/>
        </w:rPr>
        <w:t>注：*为额外加分项</w:t>
      </w:r>
    </w:p>
    <w:p>
      <w:pPr>
        <w:jc w:val="left"/>
        <w:rPr>
          <w:rFonts w:hint="default" w:ascii="仿宋_GB2312" w:hAnsi="宋体" w:eastAsia="仿宋_GB2312" w:cs="仿宋_GB2312"/>
          <w:b/>
          <w:bCs/>
          <w:i w:val="0"/>
          <w:color w:val="000000"/>
          <w:kern w:val="0"/>
          <w:sz w:val="24"/>
          <w:szCs w:val="24"/>
          <w:u w:val="none"/>
          <w:lang w:val="en-US" w:eastAsia="zh-CN" w:bidi="ar"/>
        </w:rPr>
        <w:sectPr>
          <w:footerReference r:id="rId3" w:type="default"/>
          <w:pgSz w:w="16838" w:h="11906" w:orient="landscape"/>
          <w:pgMar w:top="1803" w:right="1440" w:bottom="1803" w:left="1440" w:header="851" w:footer="992" w:gutter="0"/>
          <w:pgNumType w:fmt="numberInDash"/>
          <w:cols w:space="720" w:num="1"/>
          <w:rtlGutter w:val="0"/>
          <w:docGrid w:type="lines" w:linePitch="319" w:charSpace="0"/>
        </w:sectPr>
      </w:pPr>
    </w:p>
    <w:p>
      <w:pPr>
        <w:jc w:val="left"/>
        <w:rPr>
          <w:rFonts w:hint="eastAsia" w:ascii="方正黑体_GBK" w:hAnsi="方正黑体_GBK" w:eastAsia="方正黑体_GBK" w:cs="方正黑体_GBK"/>
          <w:b w:val="0"/>
          <w:bCs w:val="0"/>
          <w:i w:val="0"/>
          <w:color w:val="000000"/>
          <w:kern w:val="0"/>
          <w:sz w:val="32"/>
          <w:szCs w:val="32"/>
          <w:u w:val="none"/>
          <w:lang w:val="en-US" w:eastAsia="zh-CN" w:bidi="ar"/>
        </w:rPr>
      </w:pPr>
      <w:r>
        <w:rPr>
          <w:rFonts w:hint="eastAsia" w:ascii="方正黑体_GBK" w:hAnsi="方正黑体_GBK" w:eastAsia="方正黑体_GBK" w:cs="方正黑体_GBK"/>
          <w:b w:val="0"/>
          <w:bCs w:val="0"/>
          <w:i w:val="0"/>
          <w:color w:val="000000"/>
          <w:kern w:val="0"/>
          <w:sz w:val="32"/>
          <w:szCs w:val="32"/>
          <w:u w:val="none"/>
          <w:lang w:val="en-US" w:eastAsia="zh-CN" w:bidi="ar"/>
        </w:rPr>
        <w:t>附件2</w:t>
      </w:r>
    </w:p>
    <w:p>
      <w:pPr>
        <w:jc w:val="left"/>
        <w:rPr>
          <w:rFonts w:hint="eastAsia" w:ascii="方正黑体_GBK" w:hAnsi="方正黑体_GBK" w:eastAsia="方正黑体_GBK" w:cs="方正黑体_GBK"/>
          <w:b w:val="0"/>
          <w:bCs w:val="0"/>
          <w:i w:val="0"/>
          <w:color w:val="000000"/>
          <w:kern w:val="0"/>
          <w:sz w:val="32"/>
          <w:szCs w:val="32"/>
          <w:u w:val="none"/>
          <w:lang w:val="en-US" w:eastAsia="zh-CN" w:bidi="ar"/>
        </w:rPr>
      </w:pPr>
    </w:p>
    <w:p>
      <w:pPr>
        <w:jc w:val="center"/>
        <w:rPr>
          <w:rFonts w:hint="eastAsia" w:ascii="方正小标宋简体" w:hAnsi="方正小标宋简体" w:eastAsia="方正小标宋简体" w:cs="方正小标宋简体"/>
          <w:b w:val="0"/>
          <w:bCs w:val="0"/>
          <w:i w:val="0"/>
          <w:color w:val="000000"/>
          <w:kern w:val="0"/>
          <w:sz w:val="32"/>
          <w:szCs w:val="32"/>
          <w:u w:val="none"/>
          <w:lang w:val="en-US" w:eastAsia="zh-CN" w:bidi="ar"/>
        </w:rPr>
      </w:pPr>
      <w:r>
        <w:rPr>
          <w:rFonts w:hint="eastAsia" w:ascii="方正小标宋简体" w:hAnsi="方正小标宋简体" w:eastAsia="方正小标宋简体" w:cs="方正小标宋简体"/>
          <w:b w:val="0"/>
          <w:bCs w:val="0"/>
          <w:i w:val="0"/>
          <w:color w:val="000000"/>
          <w:kern w:val="0"/>
          <w:sz w:val="32"/>
          <w:szCs w:val="32"/>
          <w:u w:val="none"/>
          <w:lang w:val="en-US" w:eastAsia="zh-CN" w:bidi="ar"/>
        </w:rPr>
        <w:t>安徽省“安康杯”竞赛参赛单位报名汇总表（ 市、产业）</w:t>
      </w:r>
    </w:p>
    <w:p>
      <w:pPr>
        <w:jc w:val="center"/>
        <w:rPr>
          <w:rFonts w:hint="eastAsia" w:ascii="方正小标宋简体" w:hAnsi="方正小标宋简体" w:eastAsia="方正小标宋简体" w:cs="方正小标宋简体"/>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 xml:space="preserve">                     填表日期：      年   月   日</w:t>
      </w:r>
      <w:r>
        <w:rPr>
          <w:rFonts w:hint="eastAsia" w:ascii="方正小标宋简体" w:hAnsi="方正小标宋简体" w:eastAsia="方正小标宋简体" w:cs="方正小标宋简体"/>
          <w:b w:val="0"/>
          <w:bCs w:val="0"/>
          <w:i w:val="0"/>
          <w:color w:val="000000"/>
          <w:kern w:val="0"/>
          <w:sz w:val="32"/>
          <w:szCs w:val="32"/>
          <w:u w:val="none"/>
          <w:lang w:val="en-US" w:eastAsia="zh-CN" w:bidi="ar"/>
        </w:rPr>
        <w:t xml:space="preserve"> </w:t>
      </w:r>
    </w:p>
    <w:tbl>
      <w:tblPr>
        <w:tblStyle w:val="4"/>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701"/>
        <w:gridCol w:w="898"/>
        <w:gridCol w:w="1129"/>
        <w:gridCol w:w="9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547" w:type="dxa"/>
            <w:noWrap w:val="0"/>
            <w:vAlign w:val="bottom"/>
          </w:tcPr>
          <w:p>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序</w:t>
            </w:r>
          </w:p>
          <w:p>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号</w:t>
            </w:r>
          </w:p>
        </w:tc>
        <w:tc>
          <w:tcPr>
            <w:tcW w:w="3701" w:type="dxa"/>
            <w:noWrap w:val="0"/>
            <w:vAlign w:val="center"/>
          </w:tcPr>
          <w:p>
            <w:pPr>
              <w:jc w:val="center"/>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参  赛  单  位  名  称</w:t>
            </w:r>
          </w:p>
        </w:tc>
        <w:tc>
          <w:tcPr>
            <w:tcW w:w="89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职工</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总数</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参赛</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职工数</w:t>
            </w: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班组</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总数</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参赛</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仿宋_GBK" w:hAnsi="方正仿宋_GBK" w:eastAsia="方正仿宋_GBK" w:cs="方正仿宋_GBK"/>
                <w:b/>
                <w:bCs/>
                <w:i w:val="0"/>
                <w:color w:val="000000"/>
                <w:kern w:val="0"/>
                <w:sz w:val="28"/>
                <w:szCs w:val="28"/>
                <w:u w:val="none"/>
                <w:vertAlign w:val="baseline"/>
                <w:lang w:val="en-US" w:eastAsia="zh-CN" w:bidi="ar"/>
              </w:rPr>
            </w:pPr>
            <w:r>
              <w:rPr>
                <w:rFonts w:hint="eastAsia" w:ascii="方正仿宋_GBK" w:hAnsi="方正仿宋_GBK" w:eastAsia="方正仿宋_GBK" w:cs="方正仿宋_GBK"/>
                <w:b/>
                <w:bCs/>
                <w:i w:val="0"/>
                <w:color w:val="000000"/>
                <w:kern w:val="0"/>
                <w:sz w:val="28"/>
                <w:szCs w:val="28"/>
                <w:u w:val="none"/>
                <w:vertAlign w:val="baseline"/>
                <w:lang w:val="en-US" w:eastAsia="zh-CN" w:bidi="ar"/>
              </w:rPr>
              <w:t>班组数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7"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t xml:space="preserve"> </w:t>
            </w: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7"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t xml:space="preserve"> </w:t>
            </w: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7" w:type="dxa"/>
            <w:noWrap w:val="0"/>
            <w:vAlign w:val="top"/>
          </w:tcPr>
          <w:p>
            <w:pPr>
              <w:jc w:val="center"/>
              <w:rPr>
                <w:rFonts w:hint="default" w:ascii="方正仿宋_GBK" w:hAnsi="方正仿宋_GBK" w:eastAsia="方正仿宋_GBK" w:cs="方正仿宋_GBK"/>
                <w:b w:val="0"/>
                <w:bCs w:val="0"/>
                <w:i w:val="0"/>
                <w:color w:val="000000"/>
                <w:kern w:val="0"/>
                <w:sz w:val="32"/>
                <w:szCs w:val="32"/>
                <w:u w:val="none"/>
                <w:vertAlign w:val="baseline"/>
                <w:lang w:val="en-US" w:eastAsia="zh-CN" w:bidi="ar"/>
              </w:rPr>
            </w:pPr>
            <w: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t xml:space="preserve"> </w:t>
            </w: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7" w:type="dxa"/>
            <w:noWrap w:val="0"/>
            <w:vAlign w:val="top"/>
          </w:tcPr>
          <w:p>
            <w:pPr>
              <w:jc w:val="center"/>
              <w:rPr>
                <w:rFonts w:hint="default" w:ascii="方正仿宋_GBK" w:hAnsi="方正仿宋_GBK" w:eastAsia="方正仿宋_GBK" w:cs="方正仿宋_GBK"/>
                <w:b w:val="0"/>
                <w:bCs w:val="0"/>
                <w:i w:val="0"/>
                <w:color w:val="000000"/>
                <w:kern w:val="0"/>
                <w:sz w:val="32"/>
                <w:szCs w:val="32"/>
                <w:u w:val="none"/>
                <w:vertAlign w:val="baseline"/>
                <w:lang w:val="en-US" w:eastAsia="zh-CN" w:bidi="ar"/>
              </w:rPr>
            </w:pPr>
            <w: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t xml:space="preserve"> </w:t>
            </w: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7"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t xml:space="preserve"> </w:t>
            </w: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7"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t xml:space="preserve"> </w:t>
            </w: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7"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t xml:space="preserve"> </w:t>
            </w: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7"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t xml:space="preserve"> </w:t>
            </w: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7"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t xml:space="preserve"> </w:t>
            </w: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7"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t xml:space="preserve"> </w:t>
            </w: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47" w:type="dxa"/>
            <w:noWrap w:val="0"/>
            <w:vAlign w:val="top"/>
          </w:tcPr>
          <w:p>
            <w:pPr>
              <w:jc w:val="center"/>
              <w:rPr>
                <w:rFonts w:hint="default" w:ascii="方正仿宋_GBK" w:hAnsi="方正仿宋_GBK" w:eastAsia="方正仿宋_GBK" w:cs="方正仿宋_GBK"/>
                <w:b w:val="0"/>
                <w:bCs w:val="0"/>
                <w:i w:val="0"/>
                <w:color w:val="000000"/>
                <w:kern w:val="0"/>
                <w:sz w:val="32"/>
                <w:szCs w:val="32"/>
                <w:u w:val="none"/>
                <w:vertAlign w:val="baseline"/>
                <w:lang w:val="en-US" w:eastAsia="zh-CN" w:bidi="ar"/>
              </w:rPr>
            </w:pPr>
            <w: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t xml:space="preserve"> </w:t>
            </w: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47"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370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898"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129"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9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c>
          <w:tcPr>
            <w:tcW w:w="1211" w:type="dxa"/>
            <w:noWrap w:val="0"/>
            <w:vAlign w:val="top"/>
          </w:tcPr>
          <w:p>
            <w:pPr>
              <w:jc w:val="center"/>
              <w:rPr>
                <w:rFonts w:hint="eastAsia" w:ascii="方正仿宋_GBK" w:hAnsi="方正仿宋_GBK" w:eastAsia="方正仿宋_GBK" w:cs="方正仿宋_GBK"/>
                <w:b w:val="0"/>
                <w:bCs w:val="0"/>
                <w:i w:val="0"/>
                <w:color w:val="000000"/>
                <w:kern w:val="0"/>
                <w:sz w:val="32"/>
                <w:szCs w:val="32"/>
                <w:u w:val="none"/>
                <w:vertAlign w:val="baseline"/>
                <w:lang w:val="en-US" w:eastAsia="zh-CN" w:bidi="ar"/>
              </w:rPr>
            </w:pPr>
          </w:p>
        </w:tc>
      </w:tr>
    </w:tbl>
    <w:p>
      <w:pPr>
        <w:jc w:val="both"/>
        <w:rPr>
          <w:rFonts w:hint="eastAsia" w:ascii="方正仿宋_GBK" w:hAnsi="方正仿宋_GBK" w:eastAsia="方正仿宋_GBK" w:cs="方正仿宋_GBK"/>
          <w:b w:val="0"/>
          <w:bCs w:val="0"/>
          <w:i w:val="0"/>
          <w:color w:val="000000"/>
          <w:kern w:val="0"/>
          <w:sz w:val="32"/>
          <w:szCs w:val="32"/>
          <w:u w:val="none"/>
          <w:lang w:val="en-US" w:eastAsia="zh-CN" w:bidi="ar"/>
        </w:rPr>
      </w:pPr>
    </w:p>
    <w:p>
      <w:bookmarkStart w:id="0" w:name="_GoBack"/>
      <w:bookmarkEnd w:id="0"/>
    </w:p>
    <w:sectPr>
      <w:pgSz w:w="11906" w:h="16838"/>
      <w:pgMar w:top="1440" w:right="1803" w:bottom="1440" w:left="1803"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3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2022-04-26T08:51:34Z</dcterms:created>
  <dc:creator>txx</dc:creator>
  <cp:lastModifiedBy>大福特有钱.JPEG</cp:lastModifiedBy>
  <dcterms:modified xsi:type="dcterms:W3CDTF">2022-04-26T08:51:40Z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1278333B87D94DF5BBAFA5DA1B8E0C6F</vt:lpwstr>
  </property>
</Properties>
</file>