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  <w:t>关于公布2023年度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0"/>
          <w:szCs w:val="40"/>
        </w:rPr>
        <w:t>安徽省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6"/>
          <w:kern w:val="0"/>
          <w:sz w:val="40"/>
          <w:szCs w:val="40"/>
          <w:lang w:val="en-US" w:eastAsia="zh-CN"/>
        </w:rPr>
        <w:t>总工会职工服务中心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  <w:t>公开招聘考生最终成绩及进入体检人员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40"/>
          <w:szCs w:val="40"/>
          <w:lang w:val="en-US" w:eastAsia="zh-CN" w:bidi="ar"/>
        </w:rPr>
        <w:t>名单的通知</w:t>
      </w:r>
    </w:p>
    <w:p>
      <w:pPr>
        <w:pStyle w:val="2"/>
        <w:keepNext w:val="0"/>
        <w:keepLines w:val="0"/>
        <w:widowControl/>
        <w:suppressLineNumbers w:val="0"/>
        <w:wordWrap/>
        <w:spacing w:before="226" w:beforeAutospacing="0" w:after="226" w:afterAutospacing="0" w:line="390" w:lineRule="atLeast"/>
        <w:ind w:right="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wordWrap/>
        <w:spacing w:before="226" w:beforeAutospacing="0" w:after="226" w:afterAutospacing="0" w:line="39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年度安徽省总工会职工服务中心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招聘工作人员考生最终成绩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及进入体检人员名单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公布如下： </w:t>
      </w:r>
    </w:p>
    <w:tbl>
      <w:tblPr>
        <w:tblStyle w:val="3"/>
        <w:tblW w:w="8315" w:type="dxa"/>
        <w:tblInd w:w="-3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1652"/>
        <w:gridCol w:w="1098"/>
        <w:gridCol w:w="1098"/>
        <w:gridCol w:w="1098"/>
        <w:gridCol w:w="1098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9" w:hRule="exac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专业测试成绩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3000980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1134304200604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1134304200518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96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102.5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77.4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1134304200617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108.5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100.5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73.9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1134304200520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111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exact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1134304200510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弃权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60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42290"/>
    <w:rsid w:val="008615E4"/>
    <w:rsid w:val="07643C09"/>
    <w:rsid w:val="1DA87ABF"/>
    <w:rsid w:val="2A8B5D45"/>
    <w:rsid w:val="2ADF47AF"/>
    <w:rsid w:val="4DD42290"/>
    <w:rsid w:val="5124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2023-07-25T08:55:00Z</dcterms:created>
  <dc:creator>Administrator</dc:creator>
  <cp:lastModifiedBy>hby</cp:lastModifiedBy>
  <dcterms:modified xsi:type="dcterms:W3CDTF">2023-07-25T16:59:06Z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